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A5" w:rsidRPr="00E66BA5" w:rsidRDefault="00E66BA5" w:rsidP="00E66BA5">
      <w:pPr>
        <w:spacing w:after="0" w:line="480" w:lineRule="atLeast"/>
        <w:jc w:val="both"/>
        <w:rPr>
          <w:rFonts w:eastAsia="Times New Roman" w:cs="Times New Roman"/>
          <w:b/>
          <w:sz w:val="28"/>
          <w:szCs w:val="20"/>
        </w:rPr>
      </w:pPr>
      <w:r w:rsidRPr="00E66BA5">
        <w:rPr>
          <w:rFonts w:eastAsia="Times New Roman" w:cs="Times New Roman"/>
          <w:b/>
          <w:sz w:val="28"/>
          <w:szCs w:val="20"/>
        </w:rPr>
        <w:t>Chapter 1: U.S. Medical Care: A System in Transition</w:t>
      </w:r>
    </w:p>
    <w:p w:rsidR="00E66BA5" w:rsidRPr="00E66BA5" w:rsidRDefault="00E66BA5" w:rsidP="00E66BA5">
      <w:pPr>
        <w:keepNext/>
        <w:spacing w:after="0" w:line="480" w:lineRule="atLeast"/>
        <w:jc w:val="both"/>
        <w:outlineLvl w:val="2"/>
        <w:rPr>
          <w:rFonts w:eastAsia="Times New Roman" w:cs="Times New Roman"/>
          <w:b/>
          <w:i/>
          <w:sz w:val="24"/>
          <w:szCs w:val="20"/>
        </w:rPr>
      </w:pPr>
      <w:bookmarkStart w:id="0" w:name="_GoBack"/>
      <w:bookmarkEnd w:id="0"/>
      <w:r w:rsidRPr="00E66BA5">
        <w:rPr>
          <w:rFonts w:eastAsia="Times New Roman" w:cs="Times New Roman"/>
          <w:b/>
          <w:i/>
          <w:sz w:val="24"/>
          <w:szCs w:val="20"/>
        </w:rPr>
        <w:t>Multiple Choice</w:t>
      </w:r>
    </w:p>
    <w:p w:rsidR="00E66BA5" w:rsidRPr="00E66BA5" w:rsidRDefault="00E66BA5" w:rsidP="00E66BA5">
      <w:pPr>
        <w:keepNext/>
        <w:spacing w:after="0" w:line="240" w:lineRule="atLeast"/>
        <w:jc w:val="both"/>
        <w:rPr>
          <w:rFonts w:eastAsia="Times New Roman" w:cs="Times New Roman"/>
          <w:b/>
          <w:i/>
          <w:sz w:val="24"/>
          <w:szCs w:val="20"/>
        </w:rPr>
      </w:pPr>
    </w:p>
    <w:p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t xml:space="preserve">1. </w:t>
      </w:r>
      <w:smartTag w:uri="urn:schemas-microsoft-com:office:smarttags" w:element="place">
        <w:r w:rsidRPr="00E66BA5">
          <w:rPr>
            <w:rFonts w:eastAsia="Times New Roman" w:cs="Times New Roman"/>
            <w:sz w:val="24"/>
            <w:szCs w:val="20"/>
          </w:rPr>
          <w:t>Opportunity</w:t>
        </w:r>
      </w:smartTag>
      <w:r w:rsidRPr="00E66BA5">
        <w:rPr>
          <w:rFonts w:eastAsia="Times New Roman" w:cs="Times New Roman"/>
          <w:sz w:val="24"/>
          <w:szCs w:val="20"/>
        </w:rPr>
        <w:t xml:space="preserve"> cost is a measure of</w:t>
      </w:r>
    </w:p>
    <w:p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foregone opportunities. </w:t>
      </w:r>
    </w:p>
    <w:p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value based on the alternative not chosen. </w:t>
      </w:r>
    </w:p>
    <w:p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value in terms of the cost of production. </w:t>
      </w:r>
    </w:p>
    <w:p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difference between production cost and resource cost. </w:t>
      </w:r>
    </w:p>
    <w:p w:rsidR="00E66BA5" w:rsidRPr="00E66BA5" w:rsidRDefault="00E66BA5" w:rsidP="00E66BA5">
      <w:pPr>
        <w:keepNext/>
        <w:numPr>
          <w:ilvl w:val="0"/>
          <w:numId w:val="18"/>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both a and b.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2. The opportunity cost of investing in a new lithotripter (a machine that pulverizes kidney stones with sound waves) is </w:t>
      </w:r>
    </w:p>
    <w:p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defined by the dollar cost of the equipment.  </w:t>
      </w:r>
    </w:p>
    <w:p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same for every health care provider.  </w:t>
      </w:r>
    </w:p>
    <w:p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measured by the difference between the expected revenues from selling the services of the lithotripter and the invoice cost of the machine.  </w:t>
      </w:r>
    </w:p>
    <w:p w:rsidR="00E66BA5" w:rsidRPr="00E66BA5" w:rsidRDefault="00E66BA5" w:rsidP="00E66BA5">
      <w:pPr>
        <w:numPr>
          <w:ilvl w:val="0"/>
          <w:numId w:val="19"/>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defined by the next best use of the money invested in the equipment.  </w:t>
      </w:r>
    </w:p>
    <w:p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impossible to calculate.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3. The “invisible hand” using Adam Smith’s terminology refers to </w:t>
      </w:r>
    </w:p>
    <w:p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government control of the market.  </w:t>
      </w:r>
    </w:p>
    <w:p w:rsidR="00E66BA5" w:rsidRPr="00E66BA5" w:rsidRDefault="00E66BA5" w:rsidP="00E66BA5">
      <w:pPr>
        <w:numPr>
          <w:ilvl w:val="0"/>
          <w:numId w:val="20"/>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market forces working through the price mechanism.  </w:t>
      </w:r>
    </w:p>
    <w:p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money supply that serves to keep the economy working smoothly.  </w:t>
      </w:r>
    </w:p>
    <w:p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role of innovation in maintaining a steady rate of growth.  </w:t>
      </w:r>
    </w:p>
    <w:p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“behind-the-scenes” policy making to influence how markets allocate scarce resources.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4. According to recent public opinion polls, what percentage of Americans are satisfied with the quality of the medical care they receive?  </w:t>
      </w:r>
    </w:p>
    <w:p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15 percent. </w:t>
      </w:r>
    </w:p>
    <w:p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40 percent. </w:t>
      </w:r>
    </w:p>
    <w:p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65 percent. </w:t>
      </w:r>
    </w:p>
    <w:p w:rsidR="00E66BA5" w:rsidRPr="00E66BA5" w:rsidRDefault="00BB57EC" w:rsidP="00E66BA5">
      <w:pPr>
        <w:numPr>
          <w:ilvl w:val="0"/>
          <w:numId w:val="21"/>
        </w:numPr>
        <w:spacing w:after="0" w:line="240" w:lineRule="atLeast"/>
        <w:jc w:val="both"/>
        <w:rPr>
          <w:rFonts w:eastAsia="Times New Roman" w:cs="Times New Roman"/>
          <w:b/>
          <w:bCs/>
          <w:sz w:val="24"/>
          <w:szCs w:val="20"/>
        </w:rPr>
      </w:pPr>
      <w:r>
        <w:rPr>
          <w:rFonts w:eastAsia="Times New Roman" w:cs="Times New Roman"/>
          <w:b/>
          <w:bCs/>
          <w:sz w:val="24"/>
          <w:szCs w:val="20"/>
        </w:rPr>
        <w:t>70</w:t>
      </w:r>
      <w:r w:rsidR="00E66BA5" w:rsidRPr="00E66BA5">
        <w:rPr>
          <w:rFonts w:eastAsia="Times New Roman" w:cs="Times New Roman"/>
          <w:b/>
          <w:bCs/>
          <w:sz w:val="24"/>
          <w:szCs w:val="20"/>
        </w:rPr>
        <w:t xml:space="preserve"> percent. </w:t>
      </w:r>
    </w:p>
    <w:p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90 percent.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t>5. Charging higher prices for one category of patients in order to provide free or subsidized care to another group is called</w:t>
      </w:r>
    </w:p>
    <w:p w:rsidR="00E66BA5" w:rsidRPr="00E66BA5" w:rsidRDefault="00E66BA5" w:rsidP="00E66BA5">
      <w:pPr>
        <w:keepNext/>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price discrimination. </w:t>
      </w:r>
    </w:p>
    <w:p w:rsidR="00E66BA5" w:rsidRPr="00E66BA5" w:rsidRDefault="00E66BA5" w:rsidP="00E66BA5">
      <w:pPr>
        <w:keepNext/>
        <w:numPr>
          <w:ilvl w:val="0"/>
          <w:numId w:val="22"/>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cost-shifting. </w:t>
      </w:r>
    </w:p>
    <w:p w:rsidR="00E66BA5" w:rsidRPr="00E66BA5" w:rsidRDefault="00E66BA5" w:rsidP="00E66BA5">
      <w:pPr>
        <w:keepNext/>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categorical costing.  </w:t>
      </w:r>
    </w:p>
    <w:p w:rsidR="00E66BA5" w:rsidRPr="00E66BA5" w:rsidRDefault="00E66BA5" w:rsidP="00E66BA5">
      <w:pPr>
        <w:keepNext/>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reprehensible and unethical. </w:t>
      </w:r>
    </w:p>
    <w:p w:rsidR="00E66BA5" w:rsidRPr="00E66BA5" w:rsidRDefault="00E66BA5" w:rsidP="00E66BA5">
      <w:pPr>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creative accounting.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t xml:space="preserve">6. According to economic theory what is the optimal percentage of GDP to be spent on medical care?  </w:t>
      </w:r>
    </w:p>
    <w:p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6 percent. </w:t>
      </w:r>
    </w:p>
    <w:p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8 percent. </w:t>
      </w:r>
    </w:p>
    <w:p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10 percent. </w:t>
      </w:r>
    </w:p>
    <w:p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12 percent. </w:t>
      </w:r>
    </w:p>
    <w:p w:rsidR="00E66BA5" w:rsidRPr="00E66BA5" w:rsidRDefault="00E66BA5" w:rsidP="00E66BA5">
      <w:pPr>
        <w:numPr>
          <w:ilvl w:val="0"/>
          <w:numId w:val="23"/>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There is no widely-accepted way to determine the optimal percentage.  </w:t>
      </w:r>
    </w:p>
    <w:p w:rsidR="00E66BA5" w:rsidRPr="00E66BA5" w:rsidRDefault="00E66BA5" w:rsidP="00E66BA5">
      <w:pPr>
        <w:tabs>
          <w:tab w:val="left" w:pos="7149"/>
        </w:tabs>
        <w:spacing w:after="0" w:line="240" w:lineRule="atLeast"/>
        <w:jc w:val="both"/>
        <w:rPr>
          <w:rFonts w:eastAsia="Times New Roman" w:cs="Times New Roman"/>
          <w:sz w:val="24"/>
          <w:szCs w:val="20"/>
        </w:rPr>
      </w:pPr>
    </w:p>
    <w:p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t xml:space="preserve">7. What phrase best describes medical care spending in the </w:t>
      </w:r>
      <w:smartTag w:uri="urn:schemas-microsoft-com:office:smarttags" w:element="country-region">
        <w:smartTag w:uri="urn:schemas-microsoft-com:office:smarttags" w:element="place">
          <w:r w:rsidRPr="00E66BA5">
            <w:rPr>
              <w:rFonts w:eastAsia="Times New Roman" w:cs="Times New Roman"/>
              <w:sz w:val="24"/>
              <w:szCs w:val="20"/>
            </w:rPr>
            <w:t>United States</w:t>
          </w:r>
        </w:smartTag>
      </w:smartTag>
      <w:r w:rsidRPr="00E66BA5">
        <w:rPr>
          <w:rFonts w:eastAsia="Times New Roman" w:cs="Times New Roman"/>
          <w:sz w:val="24"/>
          <w:szCs w:val="20"/>
        </w:rPr>
        <w:t xml:space="preserve"> in 1998?  </w:t>
      </w:r>
    </w:p>
    <w:p w:rsidR="00E66BA5" w:rsidRPr="00E66BA5" w:rsidRDefault="00E66BA5" w:rsidP="00E66BA5">
      <w:pPr>
        <w:keepNext/>
        <w:numPr>
          <w:ilvl w:val="0"/>
          <w:numId w:val="24"/>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Total spending of more than $2 trillion represents 17 percent of GDP and approximately $8,000 per capita.  </w:t>
      </w:r>
    </w:p>
    <w:p w:rsidR="00E66BA5" w:rsidRPr="00E66BA5" w:rsidRDefault="00E66BA5" w:rsidP="00E66BA5">
      <w:pPr>
        <w:keepNext/>
        <w:numPr>
          <w:ilvl w:val="0"/>
          <w:numId w:val="24"/>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Total spending of more than $1 trillion represents 14.8 percent of GDP and almost $6,000 per capita.  </w:t>
      </w:r>
    </w:p>
    <w:p w:rsidR="00E66BA5" w:rsidRPr="00E66BA5" w:rsidRDefault="00E66BA5" w:rsidP="00E66BA5">
      <w:pPr>
        <w:keepNext/>
        <w:numPr>
          <w:ilvl w:val="0"/>
          <w:numId w:val="24"/>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Total spending of less than $1 trillion represents less than 13 percent of GDP and almost $3,000 per capita.  </w:t>
      </w:r>
    </w:p>
    <w:p w:rsidR="00E66BA5" w:rsidRPr="00E66BA5" w:rsidRDefault="00E66BA5" w:rsidP="00E66BA5">
      <w:pPr>
        <w:keepNext/>
        <w:numPr>
          <w:ilvl w:val="0"/>
          <w:numId w:val="24"/>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Total spending is rising at double-digit rates and spending is soaring to over $5,000 per capita.  </w:t>
      </w:r>
    </w:p>
    <w:p w:rsidR="00E66BA5" w:rsidRPr="00E66BA5" w:rsidRDefault="00E66BA5" w:rsidP="00E66BA5">
      <w:pPr>
        <w:numPr>
          <w:ilvl w:val="0"/>
          <w:numId w:val="24"/>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Total spending is under control and represents a shrinking percentage of GDP.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8. The 1974 federal legislation that exempted employers from certain state laws governing health insurance was</w:t>
      </w:r>
    </w:p>
    <w:p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COBRA</w:t>
      </w:r>
    </w:p>
    <w:p w:rsidR="00E66BA5" w:rsidRPr="00E66BA5" w:rsidRDefault="00E66BA5" w:rsidP="00E66BA5">
      <w:pPr>
        <w:numPr>
          <w:ilvl w:val="0"/>
          <w:numId w:val="25"/>
        </w:numPr>
        <w:spacing w:after="0" w:line="240" w:lineRule="atLeast"/>
        <w:jc w:val="both"/>
        <w:rPr>
          <w:rFonts w:eastAsia="Times New Roman" w:cs="Times New Roman"/>
          <w:b/>
          <w:bCs/>
          <w:sz w:val="24"/>
          <w:szCs w:val="20"/>
        </w:rPr>
      </w:pPr>
      <w:r w:rsidRPr="00E66BA5">
        <w:rPr>
          <w:rFonts w:eastAsia="Times New Roman" w:cs="Times New Roman"/>
          <w:b/>
          <w:bCs/>
          <w:sz w:val="24"/>
          <w:szCs w:val="20"/>
        </w:rPr>
        <w:t>ERISA</w:t>
      </w:r>
    </w:p>
    <w:p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CON</w:t>
      </w:r>
    </w:p>
    <w:p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HIPAA</w:t>
      </w:r>
    </w:p>
    <w:p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SCHIP</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9. Which of the following statements is based on positive analysis?  </w:t>
      </w:r>
    </w:p>
    <w:p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Individuals without health insurance have less access to physicians’ services than those who have health insurance.  </w:t>
      </w:r>
    </w:p>
    <w:p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high cost of health insurance places </w:t>
      </w:r>
      <w:smartTag w:uri="urn:schemas-microsoft-com:office:smarttags" w:element="country-region">
        <w:smartTag w:uri="urn:schemas-microsoft-com:office:smarttags" w:element="place">
          <w:r w:rsidRPr="00E66BA5">
            <w:rPr>
              <w:rFonts w:eastAsia="Times New Roman" w:cs="Times New Roman"/>
              <w:sz w:val="24"/>
              <w:szCs w:val="20"/>
            </w:rPr>
            <w:t>U.S.</w:t>
          </w:r>
        </w:smartTag>
      </w:smartTag>
      <w:r w:rsidRPr="00E66BA5">
        <w:rPr>
          <w:rFonts w:eastAsia="Times New Roman" w:cs="Times New Roman"/>
          <w:sz w:val="24"/>
          <w:szCs w:val="20"/>
        </w:rPr>
        <w:t xml:space="preserve"> firms at a competitive disadvantage with their foreign competitors.  </w:t>
      </w:r>
    </w:p>
    <w:p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Employers should be required to provide health insurance for all full-time workers and their dependents.  </w:t>
      </w:r>
    </w:p>
    <w:p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none of the above.  </w:t>
      </w:r>
    </w:p>
    <w:p w:rsidR="00E66BA5" w:rsidRPr="00E66BA5" w:rsidRDefault="00E66BA5" w:rsidP="00E66BA5">
      <w:pPr>
        <w:numPr>
          <w:ilvl w:val="0"/>
          <w:numId w:val="26"/>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Both a and b.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10. Economists use the term “marginal” to describe costs and benefits</w:t>
      </w:r>
    </w:p>
    <w:p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that are minimal and hardly worth noting.  </w:t>
      </w:r>
    </w:p>
    <w:p w:rsidR="00E66BA5" w:rsidRPr="00E66BA5" w:rsidRDefault="00E66BA5" w:rsidP="00E66BA5">
      <w:pPr>
        <w:numPr>
          <w:ilvl w:val="0"/>
          <w:numId w:val="27"/>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that are incremental and thus relevant to decision making.  </w:t>
      </w:r>
    </w:p>
    <w:p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that are noteworthy but not the most important.  </w:t>
      </w:r>
    </w:p>
    <w:p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whose importance can be minimized through hard work.  </w:t>
      </w:r>
    </w:p>
    <w:p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none of the above.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11. </w:t>
      </w:r>
      <w:proofErr w:type="spellStart"/>
      <w:r w:rsidRPr="00E66BA5">
        <w:rPr>
          <w:rFonts w:eastAsia="Times New Roman" w:cs="Times New Roman"/>
          <w:sz w:val="24"/>
          <w:szCs w:val="20"/>
        </w:rPr>
        <w:t>Self insurance</w:t>
      </w:r>
      <w:proofErr w:type="spellEnd"/>
      <w:r w:rsidRPr="00E66BA5">
        <w:rPr>
          <w:rFonts w:eastAsia="Times New Roman" w:cs="Times New Roman"/>
          <w:sz w:val="24"/>
          <w:szCs w:val="20"/>
        </w:rPr>
        <w:t xml:space="preserve"> refers to</w:t>
      </w:r>
      <w:r w:rsidR="00942270">
        <w:rPr>
          <w:rFonts w:eastAsia="Times New Roman" w:cs="Times New Roman"/>
          <w:sz w:val="24"/>
          <w:szCs w:val="20"/>
        </w:rPr>
        <w:t>:</w:t>
      </w:r>
      <w:r w:rsidRPr="00E66BA5">
        <w:rPr>
          <w:rFonts w:eastAsia="Times New Roman" w:cs="Times New Roman"/>
          <w:sz w:val="24"/>
          <w:szCs w:val="20"/>
        </w:rPr>
        <w:t xml:space="preserve"> the practice of setting aside funds to pay for medical care expenses instead of paying premiums to an insurance company.  Approximately, _______ of all employees who participate in group insurance plans work for firms that self-insure. </w:t>
      </w:r>
    </w:p>
    <w:p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starting one’s own insurance company</w:t>
      </w:r>
    </w:p>
    <w:p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buying insurance from a not for profit entity</w:t>
      </w:r>
    </w:p>
    <w:p w:rsidR="00E66BA5" w:rsidRPr="00E66BA5" w:rsidRDefault="00942270" w:rsidP="00E66BA5">
      <w:pPr>
        <w:numPr>
          <w:ilvl w:val="0"/>
          <w:numId w:val="28"/>
        </w:numPr>
        <w:spacing w:after="0" w:line="240" w:lineRule="atLeast"/>
        <w:jc w:val="both"/>
        <w:rPr>
          <w:rFonts w:eastAsia="Times New Roman" w:cs="Times New Roman"/>
          <w:b/>
          <w:bCs/>
          <w:sz w:val="24"/>
          <w:szCs w:val="20"/>
        </w:rPr>
      </w:pPr>
      <w:r>
        <w:rPr>
          <w:rFonts w:eastAsia="Times New Roman" w:cs="Times New Roman"/>
          <w:b/>
          <w:bCs/>
          <w:sz w:val="24"/>
          <w:szCs w:val="20"/>
        </w:rPr>
        <w:t>setting aside fund to pay for medical care expenses instead of buying insurance</w:t>
      </w:r>
    </w:p>
    <w:p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none of these</w:t>
      </w:r>
    </w:p>
    <w:p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both a and b</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12. Which of the following is not a characteristic that makes medical care different from other commodities?  </w:t>
      </w:r>
    </w:p>
    <w:p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Demand for medical care is irregular.</w:t>
      </w:r>
    </w:p>
    <w:p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Sellers have more information than buyers.  </w:t>
      </w:r>
    </w:p>
    <w:p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Third-party payers abound. </w:t>
      </w:r>
    </w:p>
    <w:p w:rsidR="00E66BA5" w:rsidRPr="00E66BA5" w:rsidRDefault="00E66BA5" w:rsidP="00E66BA5">
      <w:pPr>
        <w:numPr>
          <w:ilvl w:val="0"/>
          <w:numId w:val="29"/>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For-profit providers play a major role in delivering medical care.  </w:t>
      </w:r>
    </w:p>
    <w:p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transaction itself if filled with uncertainty.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keepNext/>
        <w:spacing w:after="0" w:line="480" w:lineRule="atLeast"/>
        <w:ind w:left="288" w:hanging="288"/>
        <w:jc w:val="both"/>
        <w:rPr>
          <w:rFonts w:eastAsia="Times New Roman" w:cs="Times New Roman"/>
          <w:b/>
          <w:i/>
          <w:sz w:val="24"/>
          <w:szCs w:val="20"/>
        </w:rPr>
      </w:pPr>
      <w:r w:rsidRPr="00E66BA5">
        <w:rPr>
          <w:rFonts w:eastAsia="Times New Roman" w:cs="Times New Roman"/>
          <w:b/>
          <w:i/>
          <w:sz w:val="24"/>
          <w:szCs w:val="20"/>
        </w:rPr>
        <w:t>Structured Discussion:</w:t>
      </w:r>
    </w:p>
    <w:p w:rsidR="00E66BA5" w:rsidRPr="00E66BA5" w:rsidRDefault="00E66BA5" w:rsidP="00E66BA5">
      <w:pPr>
        <w:spacing w:after="0" w:line="480" w:lineRule="atLeast"/>
        <w:ind w:left="1008" w:hanging="288"/>
        <w:jc w:val="both"/>
        <w:rPr>
          <w:rFonts w:eastAsia="Times New Roman" w:cs="Times New Roman"/>
          <w:sz w:val="24"/>
          <w:szCs w:val="20"/>
        </w:rPr>
      </w:pPr>
      <w:r w:rsidRPr="00E66BA5">
        <w:rPr>
          <w:rFonts w:eastAsia="Times New Roman" w:cs="Times New Roman"/>
          <w:sz w:val="24"/>
          <w:szCs w:val="20"/>
        </w:rPr>
        <w:t xml:space="preserve">1. </w:t>
      </w:r>
      <w:r w:rsidRPr="00E66BA5">
        <w:rPr>
          <w:rFonts w:eastAsia="Times New Roman" w:cs="Times New Roman"/>
          <w:i/>
          <w:iCs/>
          <w:sz w:val="24"/>
          <w:szCs w:val="20"/>
          <w:u w:val="single"/>
        </w:rPr>
        <w:t>Resolved</w:t>
      </w:r>
      <w:r w:rsidRPr="00E66BA5">
        <w:rPr>
          <w:rFonts w:eastAsia="Times New Roman" w:cs="Times New Roman"/>
          <w:sz w:val="24"/>
          <w:szCs w:val="20"/>
        </w:rPr>
        <w:t xml:space="preserve">: The United States system of health care delivery is in a state of crisis.  </w:t>
      </w:r>
    </w:p>
    <w:p w:rsidR="00E66BA5" w:rsidRPr="00E66BA5" w:rsidRDefault="00E66BA5" w:rsidP="00E66BA5">
      <w:pPr>
        <w:spacing w:after="0" w:line="480" w:lineRule="atLeast"/>
        <w:ind w:left="1008" w:hanging="288"/>
        <w:jc w:val="both"/>
        <w:rPr>
          <w:rFonts w:eastAsia="Times New Roman" w:cs="Times New Roman"/>
          <w:sz w:val="24"/>
          <w:szCs w:val="20"/>
        </w:rPr>
      </w:pPr>
      <w:r w:rsidRPr="00E66BA5">
        <w:rPr>
          <w:rFonts w:eastAsia="Times New Roman" w:cs="Times New Roman"/>
          <w:sz w:val="24"/>
          <w:szCs w:val="20"/>
        </w:rPr>
        <w:t xml:space="preserve">2. </w:t>
      </w:r>
      <w:r w:rsidRPr="00E66BA5">
        <w:rPr>
          <w:rFonts w:eastAsia="Times New Roman" w:cs="Times New Roman"/>
          <w:i/>
          <w:iCs/>
          <w:sz w:val="24"/>
          <w:szCs w:val="20"/>
          <w:u w:val="single"/>
        </w:rPr>
        <w:t>Resolved</w:t>
      </w:r>
      <w:r w:rsidRPr="00E66BA5">
        <w:rPr>
          <w:rFonts w:eastAsia="Times New Roman" w:cs="Times New Roman"/>
          <w:sz w:val="24"/>
          <w:szCs w:val="20"/>
        </w:rPr>
        <w:t xml:space="preserve">: The recent slowing of health care spending as a share of gross domestic product will continue.  In other words, the relative size of the health care sector has reached a natural limit.  </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keepNext/>
        <w:spacing w:after="0" w:line="240" w:lineRule="atLeast"/>
        <w:jc w:val="both"/>
        <w:outlineLvl w:val="0"/>
        <w:rPr>
          <w:rFonts w:eastAsia="Times New Roman" w:cs="Times New Roman"/>
          <w:b/>
          <w:sz w:val="24"/>
          <w:szCs w:val="20"/>
        </w:rPr>
      </w:pPr>
      <w:r w:rsidRPr="00E66BA5">
        <w:rPr>
          <w:rFonts w:eastAsia="Times New Roman" w:cs="Times New Roman"/>
          <w:b/>
          <w:sz w:val="24"/>
          <w:szCs w:val="20"/>
        </w:rPr>
        <w:t>Appendix 1A: The Medical Care Price Index</w:t>
      </w:r>
    </w:p>
    <w:p w:rsidR="00E66BA5" w:rsidRPr="00E66BA5" w:rsidRDefault="00E66BA5" w:rsidP="00E66BA5">
      <w:pPr>
        <w:spacing w:after="0" w:line="480" w:lineRule="atLeast"/>
        <w:jc w:val="both"/>
        <w:rPr>
          <w:rFonts w:eastAsia="Times New Roman" w:cs="Times New Roman"/>
          <w:sz w:val="24"/>
          <w:szCs w:val="20"/>
        </w:rPr>
      </w:pPr>
      <w:r w:rsidRPr="00E66BA5">
        <w:rPr>
          <w:rFonts w:eastAsia="Times New Roman" w:cs="Times New Roman"/>
          <w:sz w:val="24"/>
          <w:szCs w:val="20"/>
        </w:rPr>
        <w:t xml:space="preserve">This appendix demonstrates the use of price indexes to measure price changes.  Caution is advised in interpreting changes in fixed-weight indexes, such as the Consumer Price Index (CPI) and the Medical Care Price Index (MCPI), as a measure of inflation.  Problems in using the MCPI to measure medical inflation are discussed, including what to measure, how to account for quality improvements, and how to incorporate new products into the index.  </w:t>
      </w:r>
    </w:p>
    <w:p w:rsidR="00E66BA5" w:rsidRPr="00E66BA5" w:rsidRDefault="00E66BA5" w:rsidP="00E66BA5">
      <w:pPr>
        <w:spacing w:after="0" w:line="240" w:lineRule="atLeast"/>
        <w:jc w:val="both"/>
        <w:rPr>
          <w:rFonts w:eastAsia="Times New Roman" w:cs="Times New Roman"/>
          <w:b/>
          <w:sz w:val="24"/>
          <w:szCs w:val="20"/>
        </w:rPr>
      </w:pPr>
    </w:p>
    <w:p w:rsidR="00E66BA5" w:rsidRPr="00E66BA5" w:rsidRDefault="00E66BA5" w:rsidP="00E66BA5">
      <w:pPr>
        <w:spacing w:after="0" w:line="240" w:lineRule="atLeast"/>
        <w:jc w:val="both"/>
        <w:rPr>
          <w:rFonts w:eastAsia="Times New Roman" w:cs="Times New Roman"/>
          <w:b/>
          <w:sz w:val="24"/>
          <w:szCs w:val="20"/>
        </w:rPr>
      </w:pPr>
      <w:r w:rsidRPr="00E66BA5">
        <w:rPr>
          <w:rFonts w:eastAsia="Times New Roman" w:cs="Times New Roman"/>
          <w:b/>
          <w:sz w:val="24"/>
          <w:szCs w:val="20"/>
        </w:rPr>
        <w:t>Appendix Objectives</w:t>
      </w:r>
    </w:p>
    <w:p w:rsidR="00E66BA5" w:rsidRPr="00E66BA5" w:rsidRDefault="00E66BA5" w:rsidP="00E66BA5">
      <w:pPr>
        <w:numPr>
          <w:ilvl w:val="0"/>
          <w:numId w:val="14"/>
        </w:numPr>
        <w:spacing w:after="0" w:line="480" w:lineRule="atLeast"/>
        <w:jc w:val="both"/>
        <w:rPr>
          <w:rFonts w:eastAsia="Times New Roman" w:cs="Times New Roman"/>
          <w:sz w:val="24"/>
          <w:szCs w:val="20"/>
        </w:rPr>
      </w:pPr>
      <w:r w:rsidRPr="00E66BA5">
        <w:rPr>
          <w:rFonts w:eastAsia="Times New Roman" w:cs="Times New Roman"/>
          <w:sz w:val="24"/>
          <w:szCs w:val="20"/>
        </w:rPr>
        <w:t xml:space="preserve">Summarize the issues involved in measuring price changes with price indexes.  </w:t>
      </w:r>
    </w:p>
    <w:p w:rsidR="00E66BA5" w:rsidRPr="00E66BA5" w:rsidRDefault="00E66BA5" w:rsidP="00E66BA5">
      <w:pPr>
        <w:numPr>
          <w:ilvl w:val="0"/>
          <w:numId w:val="15"/>
        </w:numPr>
        <w:spacing w:after="0" w:line="480" w:lineRule="atLeast"/>
        <w:jc w:val="both"/>
        <w:rPr>
          <w:rFonts w:eastAsia="Times New Roman" w:cs="Times New Roman"/>
          <w:sz w:val="24"/>
          <w:szCs w:val="20"/>
        </w:rPr>
      </w:pPr>
      <w:r w:rsidRPr="00E66BA5">
        <w:rPr>
          <w:rFonts w:eastAsia="Times New Roman" w:cs="Times New Roman"/>
          <w:sz w:val="24"/>
          <w:szCs w:val="20"/>
        </w:rPr>
        <w:t xml:space="preserve">Describe the use of the medical care price index in measuring changes in medical care prices.  </w:t>
      </w:r>
    </w:p>
    <w:p w:rsidR="00E66BA5" w:rsidRPr="00E66BA5" w:rsidRDefault="00E66BA5" w:rsidP="00E66BA5">
      <w:pPr>
        <w:numPr>
          <w:ilvl w:val="0"/>
          <w:numId w:val="16"/>
        </w:numPr>
        <w:spacing w:after="0" w:line="480" w:lineRule="atLeast"/>
        <w:jc w:val="both"/>
        <w:rPr>
          <w:rFonts w:eastAsia="Times New Roman" w:cs="Times New Roman"/>
          <w:sz w:val="24"/>
          <w:szCs w:val="20"/>
        </w:rPr>
      </w:pPr>
      <w:r w:rsidRPr="00E66BA5">
        <w:rPr>
          <w:rFonts w:eastAsia="Times New Roman" w:cs="Times New Roman"/>
          <w:sz w:val="24"/>
          <w:szCs w:val="20"/>
        </w:rPr>
        <w:lastRenderedPageBreak/>
        <w:t xml:space="preserve">Specify alternatives for measuring price changes.  </w:t>
      </w:r>
    </w:p>
    <w:p w:rsidR="00E66BA5" w:rsidRPr="00E66BA5" w:rsidRDefault="00E66BA5" w:rsidP="00E66BA5">
      <w:pPr>
        <w:spacing w:after="0" w:line="480" w:lineRule="atLeast"/>
        <w:jc w:val="both"/>
        <w:rPr>
          <w:rFonts w:eastAsia="Times New Roman" w:cs="Times New Roman"/>
          <w:b/>
          <w:sz w:val="24"/>
          <w:szCs w:val="20"/>
        </w:rPr>
      </w:pPr>
      <w:r w:rsidRPr="00E66BA5">
        <w:rPr>
          <w:rFonts w:eastAsia="Times New Roman" w:cs="Times New Roman"/>
          <w:b/>
          <w:sz w:val="24"/>
          <w:szCs w:val="20"/>
        </w:rPr>
        <w:t>Appendix Outline</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a. Measuring price changes with index numbers</w:t>
      </w: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b. Medical care price index</w:t>
      </w:r>
    </w:p>
    <w:p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c. Problems with using a fixed-weight index as a measure of inflation</w:t>
      </w:r>
    </w:p>
    <w:p w:rsidR="006C6C22"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d. </w:t>
      </w:r>
      <w:r w:rsidR="00E66BA5" w:rsidRPr="00E66BA5">
        <w:rPr>
          <w:rFonts w:eastAsia="Times New Roman" w:cs="Times New Roman"/>
          <w:sz w:val="24"/>
          <w:szCs w:val="20"/>
        </w:rPr>
        <w:t>Measuring inputs instead of outcomes</w:t>
      </w:r>
    </w:p>
    <w:p w:rsidR="006C6C22"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e. </w:t>
      </w:r>
      <w:r w:rsidR="00E66BA5" w:rsidRPr="00E66BA5">
        <w:rPr>
          <w:rFonts w:eastAsia="Times New Roman" w:cs="Times New Roman"/>
          <w:sz w:val="24"/>
          <w:szCs w:val="20"/>
        </w:rPr>
        <w:t>Measuring quality changes</w:t>
      </w:r>
    </w:p>
    <w:p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f. </w:t>
      </w:r>
      <w:r w:rsidR="00E66BA5" w:rsidRPr="00E66BA5">
        <w:rPr>
          <w:rFonts w:eastAsia="Times New Roman" w:cs="Times New Roman"/>
          <w:sz w:val="24"/>
          <w:szCs w:val="20"/>
        </w:rPr>
        <w:t>Accounting for new products</w:t>
      </w:r>
    </w:p>
    <w:p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g. </w:t>
      </w:r>
      <w:r w:rsidR="00E66BA5" w:rsidRPr="00E66BA5">
        <w:rPr>
          <w:rFonts w:eastAsia="Times New Roman" w:cs="Times New Roman"/>
          <w:sz w:val="24"/>
          <w:szCs w:val="20"/>
        </w:rPr>
        <w:t>Other problems</w:t>
      </w:r>
    </w:p>
    <w:p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h</w:t>
      </w:r>
      <w:r w:rsidR="00E66BA5" w:rsidRPr="00E66BA5">
        <w:rPr>
          <w:rFonts w:eastAsia="Times New Roman" w:cs="Times New Roman"/>
          <w:sz w:val="24"/>
          <w:szCs w:val="20"/>
        </w:rPr>
        <w:t>. Alternative methods to measure medical care inflation</w:t>
      </w:r>
    </w:p>
    <w:p w:rsidR="00E66BA5" w:rsidRPr="00E66BA5" w:rsidRDefault="006C6C22" w:rsidP="00E66BA5">
      <w:pPr>
        <w:spacing w:after="0" w:line="240" w:lineRule="atLeast"/>
        <w:jc w:val="both"/>
        <w:rPr>
          <w:rFonts w:eastAsia="Times New Roman" w:cs="Times New Roman"/>
          <w:sz w:val="24"/>
          <w:szCs w:val="20"/>
        </w:rPr>
      </w:pPr>
      <w:proofErr w:type="spellStart"/>
      <w:r>
        <w:rPr>
          <w:rFonts w:eastAsia="Times New Roman" w:cs="Times New Roman"/>
          <w:sz w:val="24"/>
          <w:szCs w:val="20"/>
        </w:rPr>
        <w:t>i</w:t>
      </w:r>
      <w:proofErr w:type="spellEnd"/>
      <w:r w:rsidR="00E66BA5" w:rsidRPr="00E66BA5">
        <w:rPr>
          <w:rFonts w:eastAsia="Times New Roman" w:cs="Times New Roman"/>
          <w:sz w:val="24"/>
          <w:szCs w:val="20"/>
        </w:rPr>
        <w:t>. Summary and conclusions</w:t>
      </w:r>
    </w:p>
    <w:p w:rsidR="00E66BA5" w:rsidRPr="00E66BA5" w:rsidRDefault="00E66BA5" w:rsidP="00E66BA5">
      <w:pPr>
        <w:spacing w:after="0" w:line="240" w:lineRule="atLeast"/>
        <w:jc w:val="both"/>
        <w:rPr>
          <w:rFonts w:eastAsia="Times New Roman" w:cs="Times New Roman"/>
          <w:sz w:val="24"/>
          <w:szCs w:val="20"/>
        </w:rPr>
      </w:pPr>
    </w:p>
    <w:p w:rsidR="00E66BA5" w:rsidRPr="00E66BA5" w:rsidRDefault="00E66BA5" w:rsidP="00E66BA5"/>
    <w:p w:rsidR="000A038A" w:rsidRDefault="00D95167"/>
    <w:sectPr w:rsidR="000A0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F5C8B"/>
    <w:multiLevelType w:val="multilevel"/>
    <w:tmpl w:val="F2C289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E436160"/>
    <w:multiLevelType w:val="hybridMultilevel"/>
    <w:tmpl w:val="F5DED452"/>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094B78"/>
    <w:multiLevelType w:val="hybridMultilevel"/>
    <w:tmpl w:val="C9A68A00"/>
    <w:lvl w:ilvl="0" w:tplc="AF2E01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363139"/>
    <w:multiLevelType w:val="hybridMultilevel"/>
    <w:tmpl w:val="2EE6A4A8"/>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C163E4"/>
    <w:multiLevelType w:val="singleLevel"/>
    <w:tmpl w:val="0409000F"/>
    <w:lvl w:ilvl="0">
      <w:start w:val="1"/>
      <w:numFmt w:val="decimal"/>
      <w:lvlText w:val="%1."/>
      <w:legacy w:legacy="1" w:legacySpace="0" w:legacyIndent="360"/>
      <w:lvlJc w:val="left"/>
      <w:pPr>
        <w:ind w:left="360" w:hanging="360"/>
      </w:pPr>
    </w:lvl>
  </w:abstractNum>
  <w:abstractNum w:abstractNumId="6">
    <w:nsid w:val="1CC8508F"/>
    <w:multiLevelType w:val="hybridMultilevel"/>
    <w:tmpl w:val="79DA0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704E6"/>
    <w:multiLevelType w:val="hybridMultilevel"/>
    <w:tmpl w:val="14B26874"/>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171A24"/>
    <w:multiLevelType w:val="hybridMultilevel"/>
    <w:tmpl w:val="8EF0342E"/>
    <w:lvl w:ilvl="0" w:tplc="776CE2D2">
      <w:start w:val="1"/>
      <w:numFmt w:val="lowerLetter"/>
      <w:lvlText w:val="%1."/>
      <w:lvlJc w:val="left"/>
      <w:pPr>
        <w:tabs>
          <w:tab w:val="num" w:pos="720"/>
        </w:tabs>
        <w:ind w:left="720" w:hanging="360"/>
      </w:pPr>
      <w:rPr>
        <w:rFonts w:hint="default"/>
      </w:rPr>
    </w:lvl>
    <w:lvl w:ilvl="1" w:tplc="333048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23357A"/>
    <w:multiLevelType w:val="hybridMultilevel"/>
    <w:tmpl w:val="80B64FA2"/>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3AA0207"/>
    <w:multiLevelType w:val="hybridMultilevel"/>
    <w:tmpl w:val="FB56CF9E"/>
    <w:lvl w:ilvl="0" w:tplc="EED4C6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CA134F"/>
    <w:multiLevelType w:val="singleLevel"/>
    <w:tmpl w:val="CF5696C2"/>
    <w:lvl w:ilvl="0">
      <w:start w:val="1"/>
      <w:numFmt w:val="decimal"/>
      <w:lvlText w:val="%1."/>
      <w:legacy w:legacy="1" w:legacySpace="0" w:legacyIndent="360"/>
      <w:lvlJc w:val="left"/>
      <w:pPr>
        <w:ind w:left="1080" w:hanging="360"/>
      </w:pPr>
    </w:lvl>
  </w:abstractNum>
  <w:abstractNum w:abstractNumId="12">
    <w:nsid w:val="5A7D2ED8"/>
    <w:multiLevelType w:val="hybridMultilevel"/>
    <w:tmpl w:val="99248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92B4B"/>
    <w:multiLevelType w:val="hybridMultilevel"/>
    <w:tmpl w:val="0F94E53A"/>
    <w:lvl w:ilvl="0" w:tplc="D10EAAD2">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0D50EDA"/>
    <w:multiLevelType w:val="singleLevel"/>
    <w:tmpl w:val="FEAA7468"/>
    <w:lvl w:ilvl="0">
      <w:start w:val="1"/>
      <w:numFmt w:val="decimal"/>
      <w:lvlText w:val="%1."/>
      <w:legacy w:legacy="1" w:legacySpace="0" w:legacyIndent="360"/>
      <w:lvlJc w:val="left"/>
      <w:pPr>
        <w:ind w:left="1080" w:hanging="360"/>
      </w:pPr>
    </w:lvl>
  </w:abstractNum>
  <w:abstractNum w:abstractNumId="15">
    <w:nsid w:val="657E61FF"/>
    <w:multiLevelType w:val="singleLevel"/>
    <w:tmpl w:val="0409000F"/>
    <w:lvl w:ilvl="0">
      <w:start w:val="1"/>
      <w:numFmt w:val="decimal"/>
      <w:lvlText w:val="%1."/>
      <w:legacy w:legacy="1" w:legacySpace="0" w:legacyIndent="360"/>
      <w:lvlJc w:val="left"/>
      <w:pPr>
        <w:ind w:left="360" w:hanging="360"/>
      </w:pPr>
    </w:lvl>
  </w:abstractNum>
  <w:abstractNum w:abstractNumId="16">
    <w:nsid w:val="689B527C"/>
    <w:multiLevelType w:val="hybridMultilevel"/>
    <w:tmpl w:val="663EF8F2"/>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2D7EC4"/>
    <w:multiLevelType w:val="hybridMultilevel"/>
    <w:tmpl w:val="1BF635CE"/>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4B16CDD"/>
    <w:multiLevelType w:val="hybridMultilevel"/>
    <w:tmpl w:val="740C6996"/>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4"/>
  </w:num>
  <w:num w:numId="3">
    <w:abstractNumId w:val="14"/>
    <w:lvlOverride w:ilvl="0">
      <w:lvl w:ilvl="0">
        <w:start w:val="1"/>
        <w:numFmt w:val="decimal"/>
        <w:lvlText w:val="%1."/>
        <w:legacy w:legacy="1" w:legacySpace="0" w:legacyIndent="360"/>
        <w:lvlJc w:val="left"/>
        <w:pPr>
          <w:ind w:left="1080" w:hanging="360"/>
        </w:pPr>
      </w:lvl>
    </w:lvlOverride>
  </w:num>
  <w:num w:numId="4">
    <w:abstractNumId w:val="14"/>
    <w:lvlOverride w:ilvl="0">
      <w:lvl w:ilvl="0">
        <w:start w:val="1"/>
        <w:numFmt w:val="decimal"/>
        <w:lvlText w:val="%1."/>
        <w:legacy w:legacy="1" w:legacySpace="0" w:legacyIndent="360"/>
        <w:lvlJc w:val="left"/>
        <w:pPr>
          <w:ind w:left="1080" w:hanging="360"/>
        </w:pPr>
      </w:lvl>
    </w:lvlOverride>
  </w:num>
  <w:num w:numId="5">
    <w:abstractNumId w:val="14"/>
    <w:lvlOverride w:ilvl="0">
      <w:lvl w:ilvl="0">
        <w:start w:val="1"/>
        <w:numFmt w:val="decimal"/>
        <w:lvlText w:val="%1."/>
        <w:legacy w:legacy="1" w:legacySpace="0" w:legacyIndent="360"/>
        <w:lvlJc w:val="left"/>
        <w:pPr>
          <w:ind w:left="1080" w:hanging="360"/>
        </w:pPr>
      </w:lvl>
    </w:lvlOverride>
  </w:num>
  <w:num w:numId="6">
    <w:abstractNumId w:val="14"/>
    <w:lvlOverride w:ilvl="0">
      <w:lvl w:ilvl="0">
        <w:start w:val="1"/>
        <w:numFmt w:val="decimal"/>
        <w:lvlText w:val="%1."/>
        <w:legacy w:legacy="1" w:legacySpace="0" w:legacyIndent="360"/>
        <w:lvlJc w:val="left"/>
        <w:pPr>
          <w:ind w:left="1080" w:hanging="360"/>
        </w:pPr>
      </w:lvl>
    </w:lvlOverride>
  </w:num>
  <w:num w:numId="7">
    <w:abstractNumId w:val="14"/>
    <w:lvlOverride w:ilvl="0">
      <w:lvl w:ilvl="0">
        <w:start w:val="1"/>
        <w:numFmt w:val="decimal"/>
        <w:lvlText w:val="%1."/>
        <w:legacy w:legacy="1" w:legacySpace="0" w:legacyIndent="360"/>
        <w:lvlJc w:val="left"/>
        <w:pPr>
          <w:ind w:left="1080" w:hanging="360"/>
        </w:pPr>
      </w:lvl>
    </w:lvlOverride>
  </w:num>
  <w:num w:numId="8">
    <w:abstractNumId w:val="5"/>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15"/>
  </w:num>
  <w:num w:numId="13">
    <w:abstractNumId w:val="15"/>
    <w:lvlOverride w:ilvl="0">
      <w:lvl w:ilvl="0">
        <w:start w:val="1"/>
        <w:numFmt w:val="decimal"/>
        <w:lvlText w:val="%1."/>
        <w:lvlJc w:val="left"/>
        <w:pPr>
          <w:ind w:left="720" w:hanging="360"/>
        </w:pPr>
      </w:lvl>
    </w:lvlOverride>
  </w:num>
  <w:num w:numId="14">
    <w:abstractNumId w:val="11"/>
  </w:num>
  <w:num w:numId="15">
    <w:abstractNumId w:val="11"/>
    <w:lvlOverride w:ilvl="0">
      <w:lvl w:ilvl="0">
        <w:start w:val="1"/>
        <w:numFmt w:val="decimal"/>
        <w:lvlText w:val="%1."/>
        <w:legacy w:legacy="1" w:legacySpace="0" w:legacyIndent="360"/>
        <w:lvlJc w:val="left"/>
        <w:pPr>
          <w:ind w:left="1080" w:hanging="360"/>
        </w:pPr>
      </w:lvl>
    </w:lvlOverride>
  </w:num>
  <w:num w:numId="16">
    <w:abstractNumId w:val="11"/>
    <w:lvlOverride w:ilvl="0">
      <w:lvl w:ilvl="0">
        <w:start w:val="1"/>
        <w:numFmt w:val="decimal"/>
        <w:lvlText w:val="%1."/>
        <w:legacy w:legacy="1" w:legacySpace="0" w:legacyIndent="360"/>
        <w:lvlJc w:val="left"/>
        <w:pPr>
          <w:ind w:left="1080" w:hanging="360"/>
        </w:pPr>
      </w:lvl>
    </w:lvlOverride>
  </w:num>
  <w:num w:numId="17">
    <w:abstractNumId w:val="6"/>
  </w:num>
  <w:num w:numId="18">
    <w:abstractNumId w:val="17"/>
  </w:num>
  <w:num w:numId="19">
    <w:abstractNumId w:val="9"/>
  </w:num>
  <w:num w:numId="20">
    <w:abstractNumId w:val="2"/>
  </w:num>
  <w:num w:numId="21">
    <w:abstractNumId w:val="7"/>
  </w:num>
  <w:num w:numId="22">
    <w:abstractNumId w:val="16"/>
  </w:num>
  <w:num w:numId="23">
    <w:abstractNumId w:val="13"/>
  </w:num>
  <w:num w:numId="24">
    <w:abstractNumId w:val="8"/>
  </w:num>
  <w:num w:numId="25">
    <w:abstractNumId w:val="18"/>
  </w:num>
  <w:num w:numId="26">
    <w:abstractNumId w:val="4"/>
  </w:num>
  <w:num w:numId="27">
    <w:abstractNumId w:val="3"/>
  </w:num>
  <w:num w:numId="28">
    <w:abstractNumId w:val="1"/>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A5"/>
    <w:rsid w:val="000221A9"/>
    <w:rsid w:val="001F606C"/>
    <w:rsid w:val="0025184B"/>
    <w:rsid w:val="00425A85"/>
    <w:rsid w:val="00604A95"/>
    <w:rsid w:val="006C6C22"/>
    <w:rsid w:val="00774486"/>
    <w:rsid w:val="00917C58"/>
    <w:rsid w:val="00942270"/>
    <w:rsid w:val="00A503D5"/>
    <w:rsid w:val="00BB57EC"/>
    <w:rsid w:val="00CA5957"/>
    <w:rsid w:val="00D95167"/>
    <w:rsid w:val="00DA224A"/>
    <w:rsid w:val="00E6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5F16DB8-5F79-481E-83C8-D91A3E0C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No Name</cp:lastModifiedBy>
  <cp:revision>10</cp:revision>
  <dcterms:created xsi:type="dcterms:W3CDTF">2014-08-12T19:03:00Z</dcterms:created>
  <dcterms:modified xsi:type="dcterms:W3CDTF">2015-02-03T18:31:00Z</dcterms:modified>
</cp:coreProperties>
</file>