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FFD" w:rsidRDefault="001E7FFD" w:rsidP="001E7FFD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Lab 3 Consider This: Your Turn</w:t>
      </w:r>
    </w:p>
    <w:p w:rsidR="001E7FFD" w:rsidRDefault="006F1238" w:rsidP="001E7FFD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Camshay Marketing </w:t>
      </w:r>
      <w:r w:rsidR="006B667F">
        <w:rPr>
          <w:rFonts w:ascii="Times New Roman" w:hAnsi="Times New Roman"/>
        </w:rPr>
        <w:t>A</w:t>
      </w:r>
      <w:r>
        <w:rPr>
          <w:rFonts w:ascii="Times New Roman" w:hAnsi="Times New Roman"/>
        </w:rPr>
        <w:t>ssociates</w:t>
      </w:r>
    </w:p>
    <w:p w:rsidR="001E7FFD" w:rsidRDefault="001E7FFD" w:rsidP="001E7FFD">
      <w:p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Sample Grading Rubric</w:t>
      </w:r>
    </w:p>
    <w:p w:rsidR="004922FF" w:rsidRDefault="004922FF" w:rsidP="004922FF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1:</w:t>
      </w:r>
    </w:p>
    <w:tbl>
      <w:tblPr>
        <w:tblStyle w:val="TableGrid"/>
        <w:tblW w:w="9270" w:type="dxa"/>
        <w:tblInd w:w="108" w:type="dxa"/>
        <w:tblLook w:val="04A0" w:firstRow="1" w:lastRow="0" w:firstColumn="1" w:lastColumn="0" w:noHBand="0" w:noVBand="1"/>
      </w:tblPr>
      <w:tblGrid>
        <w:gridCol w:w="3581"/>
        <w:gridCol w:w="3605"/>
        <w:gridCol w:w="1187"/>
        <w:gridCol w:w="897"/>
      </w:tblGrid>
      <w:tr w:rsidR="004922FF" w:rsidRPr="004922FF" w:rsidTr="0007678E">
        <w:tc>
          <w:tcPr>
            <w:tcW w:w="3581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Consider This: Plan Ahead Guidelines</w:t>
            </w:r>
          </w:p>
        </w:tc>
        <w:tc>
          <w:tcPr>
            <w:tcW w:w="3605" w:type="dxa"/>
          </w:tcPr>
          <w:p w:rsidR="004922FF" w:rsidRPr="006719F1" w:rsidRDefault="004922FF" w:rsidP="004922FF">
            <w:pPr>
              <w:widowControl w:val="0"/>
              <w:autoSpaceDE w:val="0"/>
              <w:autoSpaceDN w:val="0"/>
              <w:adjustRightInd w:val="0"/>
              <w:ind w:left="-18"/>
              <w:rPr>
                <w:lang w:bidi="yi-Hebr"/>
              </w:rPr>
            </w:pPr>
            <w:r w:rsidRPr="006719F1">
              <w:rPr>
                <w:b/>
                <w:lang w:bidi="yi-Hebr"/>
              </w:rPr>
              <w:t>Grading Notes</w:t>
            </w:r>
          </w:p>
        </w:tc>
        <w:tc>
          <w:tcPr>
            <w:tcW w:w="1187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Suggested</w:t>
            </w:r>
          </w:p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Percent</w:t>
            </w:r>
          </w:p>
        </w:tc>
        <w:tc>
          <w:tcPr>
            <w:tcW w:w="897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  <w:r w:rsidRPr="004922FF">
              <w:rPr>
                <w:b/>
                <w:lang w:bidi="yi-Hebr"/>
              </w:rPr>
              <w:t>Score</w:t>
            </w:r>
          </w:p>
        </w:tc>
      </w:tr>
      <w:tr w:rsidR="004922FF" w:rsidRPr="004922FF" w:rsidTr="0007678E">
        <w:tc>
          <w:tcPr>
            <w:tcW w:w="3581" w:type="dxa"/>
          </w:tcPr>
          <w:p w:rsidR="004922FF" w:rsidRPr="004922FF" w:rsidRDefault="00AA3735" w:rsidP="00EF1624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Identify the tables that will be included in the database.</w:t>
            </w:r>
          </w:p>
        </w:tc>
        <w:tc>
          <w:tcPr>
            <w:tcW w:w="3605" w:type="dxa"/>
          </w:tcPr>
          <w:p w:rsidR="004922FF" w:rsidRPr="004922FF" w:rsidRDefault="005B749B" w:rsidP="006F1238">
            <w:pPr>
              <w:spacing w:after="120"/>
              <w:contextualSpacing/>
            </w:pPr>
            <w:r>
              <w:t xml:space="preserve">There should be two tables: </w:t>
            </w:r>
            <w:r w:rsidR="006F1238">
              <w:t>Client</w:t>
            </w:r>
            <w:r>
              <w:t xml:space="preserve"> and </w:t>
            </w:r>
            <w:r w:rsidR="006F1238">
              <w:t>Marketing Analyst</w:t>
            </w:r>
            <w:r>
              <w:t>. Students could use different names for the tables.</w:t>
            </w:r>
          </w:p>
        </w:tc>
        <w:tc>
          <w:tcPr>
            <w:tcW w:w="1187" w:type="dxa"/>
          </w:tcPr>
          <w:p w:rsidR="004922FF" w:rsidRPr="004922FF" w:rsidRDefault="006F3480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35</w:t>
            </w:r>
          </w:p>
        </w:tc>
        <w:tc>
          <w:tcPr>
            <w:tcW w:w="897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4922FF" w:rsidRPr="004922FF" w:rsidTr="0007678E">
        <w:tc>
          <w:tcPr>
            <w:tcW w:w="3581" w:type="dxa"/>
          </w:tcPr>
          <w:p w:rsidR="004922FF" w:rsidRPr="004922FF" w:rsidRDefault="00AA3735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the primary keys for each of the tables</w:t>
            </w:r>
          </w:p>
        </w:tc>
        <w:tc>
          <w:tcPr>
            <w:tcW w:w="3605" w:type="dxa"/>
          </w:tcPr>
          <w:p w:rsidR="004922FF" w:rsidRPr="006719F1" w:rsidRDefault="006F1238" w:rsidP="006F1238">
            <w:pPr>
              <w:widowControl w:val="0"/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Client</w:t>
            </w:r>
            <w:r w:rsidR="005B749B">
              <w:rPr>
                <w:lang w:bidi="yi-Hebr"/>
              </w:rPr>
              <w:t xml:space="preserve"> Number is the primary key for the </w:t>
            </w:r>
            <w:r>
              <w:rPr>
                <w:lang w:bidi="yi-Hebr"/>
              </w:rPr>
              <w:t>Client</w:t>
            </w:r>
            <w:r w:rsidR="005B749B">
              <w:rPr>
                <w:lang w:bidi="yi-Hebr"/>
              </w:rPr>
              <w:t xml:space="preserve"> table and </w:t>
            </w:r>
            <w:r>
              <w:rPr>
                <w:lang w:bidi="yi-Hebr"/>
              </w:rPr>
              <w:t>Marketing Analyst</w:t>
            </w:r>
            <w:r w:rsidR="005B749B">
              <w:rPr>
                <w:lang w:bidi="yi-Hebr"/>
              </w:rPr>
              <w:t xml:space="preserve"> Number is the primary key for the </w:t>
            </w:r>
            <w:r>
              <w:rPr>
                <w:lang w:bidi="yi-Hebr"/>
              </w:rPr>
              <w:t>Marketing Analyst</w:t>
            </w:r>
            <w:r w:rsidR="005B749B">
              <w:rPr>
                <w:lang w:bidi="yi-Hebr"/>
              </w:rPr>
              <w:t xml:space="preserve"> table.</w:t>
            </w:r>
          </w:p>
        </w:tc>
        <w:tc>
          <w:tcPr>
            <w:tcW w:w="1187" w:type="dxa"/>
          </w:tcPr>
          <w:p w:rsidR="004922FF" w:rsidRPr="004922FF" w:rsidRDefault="006F3480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5</w:t>
            </w:r>
          </w:p>
        </w:tc>
        <w:tc>
          <w:tcPr>
            <w:tcW w:w="897" w:type="dxa"/>
          </w:tcPr>
          <w:p w:rsidR="004922FF" w:rsidRPr="004922FF" w:rsidRDefault="004922FF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07678E" w:rsidRPr="004922FF" w:rsidTr="0007678E">
        <w:tc>
          <w:tcPr>
            <w:tcW w:w="3581" w:type="dxa"/>
          </w:tcPr>
          <w:p w:rsidR="0007678E" w:rsidRDefault="0007678E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the additional fields that should be included in each of the tables.</w:t>
            </w:r>
          </w:p>
        </w:tc>
        <w:tc>
          <w:tcPr>
            <w:tcW w:w="3605" w:type="dxa"/>
          </w:tcPr>
          <w:p w:rsidR="0007678E" w:rsidRDefault="005B749B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 xml:space="preserve">The </w:t>
            </w:r>
            <w:r w:rsidR="006F1238">
              <w:rPr>
                <w:lang w:bidi="yi-Hebr"/>
              </w:rPr>
              <w:t>Client</w:t>
            </w:r>
            <w:r>
              <w:rPr>
                <w:lang w:bidi="yi-Hebr"/>
              </w:rPr>
              <w:t xml:space="preserve"> table includes: </w:t>
            </w:r>
            <w:r w:rsidR="006F1238">
              <w:rPr>
                <w:lang w:bidi="yi-Hebr"/>
              </w:rPr>
              <w:t>Client</w:t>
            </w:r>
            <w:r>
              <w:rPr>
                <w:lang w:bidi="yi-Hebr"/>
              </w:rPr>
              <w:t xml:space="preserve"> Number, </w:t>
            </w:r>
            <w:r w:rsidR="006F1238">
              <w:rPr>
                <w:lang w:bidi="yi-Hebr"/>
              </w:rPr>
              <w:t>Client</w:t>
            </w:r>
            <w:r>
              <w:rPr>
                <w:lang w:bidi="yi-Hebr"/>
              </w:rPr>
              <w:t xml:space="preserve"> Name, </w:t>
            </w:r>
            <w:r w:rsidR="006F1238">
              <w:rPr>
                <w:lang w:bidi="yi-Hebr"/>
              </w:rPr>
              <w:t>Street</w:t>
            </w:r>
            <w:r>
              <w:rPr>
                <w:lang w:bidi="yi-Hebr"/>
              </w:rPr>
              <w:t xml:space="preserve">, Postal Code, Amount Paid, Balance, and </w:t>
            </w:r>
            <w:r w:rsidR="006F1238">
              <w:rPr>
                <w:lang w:bidi="yi-Hebr"/>
              </w:rPr>
              <w:t>Marketing Analyst</w:t>
            </w:r>
            <w:r>
              <w:rPr>
                <w:lang w:bidi="yi-Hebr"/>
              </w:rPr>
              <w:t xml:space="preserve"> Number.</w:t>
            </w:r>
          </w:p>
          <w:p w:rsidR="005B749B" w:rsidRPr="006719F1" w:rsidRDefault="005B749B" w:rsidP="005B749B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 xml:space="preserve">The </w:t>
            </w:r>
            <w:r w:rsidR="006F1238">
              <w:rPr>
                <w:lang w:bidi="yi-Hebr"/>
              </w:rPr>
              <w:t xml:space="preserve">Marketing Analyst </w:t>
            </w:r>
            <w:r>
              <w:rPr>
                <w:lang w:bidi="yi-Hebr"/>
              </w:rPr>
              <w:t xml:space="preserve">table includes: </w:t>
            </w:r>
            <w:r w:rsidR="006F1238">
              <w:rPr>
                <w:lang w:bidi="yi-Hebr"/>
              </w:rPr>
              <w:t xml:space="preserve">Marketing Analyst </w:t>
            </w:r>
            <w:r>
              <w:rPr>
                <w:lang w:bidi="yi-Hebr"/>
              </w:rPr>
              <w:t>Number, Last Name, First Name, Address, City, Postal Code, Hourly Rate, and Start Date</w:t>
            </w:r>
          </w:p>
        </w:tc>
        <w:tc>
          <w:tcPr>
            <w:tcW w:w="1187" w:type="dxa"/>
          </w:tcPr>
          <w:p w:rsidR="0007678E" w:rsidRPr="004922FF" w:rsidRDefault="006F3480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30</w:t>
            </w:r>
          </w:p>
        </w:tc>
        <w:tc>
          <w:tcPr>
            <w:tcW w:w="897" w:type="dxa"/>
          </w:tcPr>
          <w:p w:rsidR="0007678E" w:rsidRPr="004922FF" w:rsidRDefault="0007678E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07678E" w:rsidRPr="004922FF" w:rsidTr="0007678E">
        <w:tc>
          <w:tcPr>
            <w:tcW w:w="3581" w:type="dxa"/>
          </w:tcPr>
          <w:p w:rsidR="0007678E" w:rsidRDefault="0007678E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relationships between the tables</w:t>
            </w:r>
            <w:r>
              <w:rPr>
                <w:lang w:bidi="yi-Hebr"/>
              </w:rPr>
              <w:br/>
              <w:t>a. Identify the “one” table</w:t>
            </w:r>
            <w:r>
              <w:rPr>
                <w:lang w:bidi="yi-Hebr"/>
              </w:rPr>
              <w:br/>
              <w:t>b. Identify the “many” table</w:t>
            </w:r>
            <w:r>
              <w:rPr>
                <w:lang w:bidi="yi-Hebr"/>
              </w:rPr>
              <w:br/>
              <w:t>c. Include the primary key of the “one” table as a field in the “many” table.</w:t>
            </w:r>
          </w:p>
        </w:tc>
        <w:tc>
          <w:tcPr>
            <w:tcW w:w="3605" w:type="dxa"/>
          </w:tcPr>
          <w:p w:rsidR="0007678E" w:rsidRPr="006719F1" w:rsidRDefault="005B749B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 xml:space="preserve">The </w:t>
            </w:r>
            <w:r w:rsidR="006F1238">
              <w:rPr>
                <w:lang w:bidi="yi-Hebr"/>
              </w:rPr>
              <w:t xml:space="preserve">Marketing Analyst </w:t>
            </w:r>
            <w:r>
              <w:rPr>
                <w:lang w:bidi="yi-Hebr"/>
              </w:rPr>
              <w:t xml:space="preserve">table is the one table and the </w:t>
            </w:r>
            <w:r w:rsidR="006F1238">
              <w:rPr>
                <w:lang w:bidi="yi-Hebr"/>
              </w:rPr>
              <w:t>Client</w:t>
            </w:r>
            <w:r>
              <w:rPr>
                <w:lang w:bidi="yi-Hebr"/>
              </w:rPr>
              <w:t xml:space="preserve"> table is the many table.</w:t>
            </w:r>
          </w:p>
        </w:tc>
        <w:tc>
          <w:tcPr>
            <w:tcW w:w="1187" w:type="dxa"/>
          </w:tcPr>
          <w:p w:rsidR="0007678E" w:rsidRPr="004922FF" w:rsidRDefault="006F3480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5</w:t>
            </w:r>
          </w:p>
        </w:tc>
        <w:tc>
          <w:tcPr>
            <w:tcW w:w="897" w:type="dxa"/>
          </w:tcPr>
          <w:p w:rsidR="0007678E" w:rsidRPr="004922FF" w:rsidRDefault="0007678E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07678E" w:rsidRPr="004922FF" w:rsidTr="0007678E">
        <w:tc>
          <w:tcPr>
            <w:tcW w:w="3581" w:type="dxa"/>
          </w:tcPr>
          <w:p w:rsidR="0007678E" w:rsidRDefault="0007678E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data types for the fields in the tables</w:t>
            </w:r>
          </w:p>
        </w:tc>
        <w:tc>
          <w:tcPr>
            <w:tcW w:w="3605" w:type="dxa"/>
          </w:tcPr>
          <w:p w:rsidR="0007678E" w:rsidRDefault="005B749B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 xml:space="preserve">In the </w:t>
            </w:r>
            <w:r w:rsidR="006F1238">
              <w:rPr>
                <w:lang w:bidi="yi-Hebr"/>
              </w:rPr>
              <w:t>Client</w:t>
            </w:r>
            <w:r>
              <w:rPr>
                <w:lang w:bidi="yi-Hebr"/>
              </w:rPr>
              <w:t xml:space="preserve"> table, all fields except Amount Paid and Balance are Short Text fields. Amount Paid and Balance are Currency data types.</w:t>
            </w:r>
          </w:p>
          <w:p w:rsidR="005B749B" w:rsidRPr="006719F1" w:rsidRDefault="005B749B" w:rsidP="006F1238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 xml:space="preserve">In the </w:t>
            </w:r>
            <w:r w:rsidR="006F1238">
              <w:rPr>
                <w:lang w:bidi="yi-Hebr"/>
              </w:rPr>
              <w:t xml:space="preserve">Marketing Analyst </w:t>
            </w:r>
            <w:r>
              <w:rPr>
                <w:lang w:bidi="yi-Hebr"/>
              </w:rPr>
              <w:t xml:space="preserve">table, all fields except </w:t>
            </w:r>
            <w:r w:rsidR="006F1238">
              <w:rPr>
                <w:lang w:bidi="yi-Hebr"/>
              </w:rPr>
              <w:t>Salary YTD, Incentive YTD,</w:t>
            </w:r>
            <w:r>
              <w:rPr>
                <w:lang w:bidi="yi-Hebr"/>
              </w:rPr>
              <w:t xml:space="preserve"> and Start Date are Short Text fields. </w:t>
            </w:r>
            <w:r w:rsidR="006F1238">
              <w:rPr>
                <w:lang w:bidi="yi-Hebr"/>
              </w:rPr>
              <w:t>Salary YTD and Incentive YTD are currency</w:t>
            </w:r>
            <w:r>
              <w:rPr>
                <w:lang w:bidi="yi-Hebr"/>
              </w:rPr>
              <w:t xml:space="preserve"> type and Start Date is a Date/Time field.</w:t>
            </w:r>
          </w:p>
        </w:tc>
        <w:tc>
          <w:tcPr>
            <w:tcW w:w="1187" w:type="dxa"/>
          </w:tcPr>
          <w:p w:rsidR="0007678E" w:rsidRPr="004922FF" w:rsidRDefault="006F3480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15</w:t>
            </w:r>
          </w:p>
        </w:tc>
        <w:tc>
          <w:tcPr>
            <w:tcW w:w="897" w:type="dxa"/>
          </w:tcPr>
          <w:p w:rsidR="0007678E" w:rsidRPr="004922FF" w:rsidRDefault="0007678E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34261A" w:rsidRPr="004922FF" w:rsidTr="0007678E">
        <w:tc>
          <w:tcPr>
            <w:tcW w:w="3581" w:type="dxa"/>
          </w:tcPr>
          <w:p w:rsidR="0034261A" w:rsidRDefault="0034261A" w:rsidP="006B667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additional properties for fields</w:t>
            </w:r>
            <w:r>
              <w:rPr>
                <w:lang w:bidi="yi-Hebr"/>
              </w:rPr>
              <w:br/>
              <w:t>a. Determine if a special caption is warranted</w:t>
            </w:r>
            <w:r>
              <w:rPr>
                <w:lang w:bidi="yi-Hebr"/>
              </w:rPr>
              <w:br/>
              <w:t>b. Determine if a special description is warr</w:t>
            </w:r>
            <w:r w:rsidR="006B667F">
              <w:rPr>
                <w:lang w:bidi="yi-Hebr"/>
              </w:rPr>
              <w:t>a</w:t>
            </w:r>
            <w:r>
              <w:rPr>
                <w:lang w:bidi="yi-Hebr"/>
              </w:rPr>
              <w:t>nted</w:t>
            </w:r>
            <w:bookmarkStart w:id="0" w:name="_GoBack"/>
            <w:bookmarkEnd w:id="0"/>
            <w:r>
              <w:rPr>
                <w:lang w:bidi="yi-Hebr"/>
              </w:rPr>
              <w:br/>
              <w:t>c. Determine field sizes</w:t>
            </w:r>
            <w:r>
              <w:rPr>
                <w:lang w:bidi="yi-Hebr"/>
              </w:rPr>
              <w:br/>
              <w:t>d. Determine formats</w:t>
            </w:r>
          </w:p>
        </w:tc>
        <w:tc>
          <w:tcPr>
            <w:tcW w:w="3605" w:type="dxa"/>
          </w:tcPr>
          <w:p w:rsidR="0034261A" w:rsidRPr="006719F1" w:rsidRDefault="005B749B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 xml:space="preserve">While these are not required, captions for </w:t>
            </w:r>
            <w:r w:rsidR="006F1238">
              <w:rPr>
                <w:lang w:bidi="yi-Hebr"/>
              </w:rPr>
              <w:t>Client</w:t>
            </w:r>
            <w:r>
              <w:rPr>
                <w:lang w:bidi="yi-Hebr"/>
              </w:rPr>
              <w:t xml:space="preserve"> Number and </w:t>
            </w:r>
            <w:r w:rsidR="006F1238">
              <w:rPr>
                <w:lang w:bidi="yi-Hebr"/>
              </w:rPr>
              <w:t xml:space="preserve">Marketing Analyst </w:t>
            </w:r>
            <w:r>
              <w:rPr>
                <w:lang w:bidi="yi-Hebr"/>
              </w:rPr>
              <w:t>Number would be appropriate. Also, using correct field sizes for postal codes and telephone number helps improve data accuracy. Currency should display 2 decimal places.</w:t>
            </w:r>
          </w:p>
        </w:tc>
        <w:tc>
          <w:tcPr>
            <w:tcW w:w="1187" w:type="dxa"/>
          </w:tcPr>
          <w:p w:rsidR="0034261A" w:rsidRPr="004922FF" w:rsidRDefault="006F3480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5</w:t>
            </w:r>
          </w:p>
        </w:tc>
        <w:tc>
          <w:tcPr>
            <w:tcW w:w="89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34261A" w:rsidRPr="004922FF" w:rsidTr="0007678E">
        <w:tc>
          <w:tcPr>
            <w:tcW w:w="3581" w:type="dxa"/>
          </w:tcPr>
          <w:p w:rsidR="0034261A" w:rsidRDefault="0034261A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Identify and remove any unwanted redundancy</w:t>
            </w:r>
          </w:p>
        </w:tc>
        <w:tc>
          <w:tcPr>
            <w:tcW w:w="3605" w:type="dxa"/>
          </w:tcPr>
          <w:p w:rsidR="0034261A" w:rsidRPr="006719F1" w:rsidRDefault="005B749B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N/A</w:t>
            </w:r>
          </w:p>
        </w:tc>
        <w:tc>
          <w:tcPr>
            <w:tcW w:w="118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34261A" w:rsidRPr="004922FF" w:rsidTr="0007678E">
        <w:tc>
          <w:tcPr>
            <w:tcW w:w="3581" w:type="dxa"/>
          </w:tcPr>
          <w:p w:rsidR="0034261A" w:rsidRDefault="0034261A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a storage location for the database</w:t>
            </w:r>
          </w:p>
        </w:tc>
        <w:tc>
          <w:tcPr>
            <w:tcW w:w="3605" w:type="dxa"/>
          </w:tcPr>
          <w:p w:rsidR="0034261A" w:rsidRPr="006719F1" w:rsidRDefault="005B749B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N/A</w:t>
            </w:r>
          </w:p>
        </w:tc>
        <w:tc>
          <w:tcPr>
            <w:tcW w:w="118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34261A" w:rsidRPr="004922FF" w:rsidTr="0007678E">
        <w:tc>
          <w:tcPr>
            <w:tcW w:w="3581" w:type="dxa"/>
          </w:tcPr>
          <w:p w:rsidR="0034261A" w:rsidRDefault="0034261A" w:rsidP="004922FF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lang w:bidi="yi-Hebr"/>
              </w:rPr>
            </w:pPr>
            <w:r>
              <w:rPr>
                <w:lang w:bidi="yi-Hebr"/>
              </w:rPr>
              <w:t>Determine the best method for distributing database objects</w:t>
            </w:r>
          </w:p>
        </w:tc>
        <w:tc>
          <w:tcPr>
            <w:tcW w:w="3605" w:type="dxa"/>
          </w:tcPr>
          <w:p w:rsidR="0034261A" w:rsidRPr="006719F1" w:rsidRDefault="005B749B" w:rsidP="004922FF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>N/A</w:t>
            </w:r>
          </w:p>
        </w:tc>
        <w:tc>
          <w:tcPr>
            <w:tcW w:w="118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34261A" w:rsidRPr="004922FF" w:rsidRDefault="0034261A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6F3480" w:rsidRPr="004922FF" w:rsidTr="0007678E">
        <w:tc>
          <w:tcPr>
            <w:tcW w:w="3581" w:type="dxa"/>
          </w:tcPr>
          <w:p w:rsidR="006F3480" w:rsidRDefault="006F3480" w:rsidP="005B749B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3605" w:type="dxa"/>
          </w:tcPr>
          <w:p w:rsidR="006F3480" w:rsidRDefault="006F3480" w:rsidP="006F1238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 xml:space="preserve">The </w:t>
            </w:r>
            <w:r w:rsidR="006F1238">
              <w:rPr>
                <w:lang w:bidi="yi-Hebr"/>
              </w:rPr>
              <w:t>Client</w:t>
            </w:r>
            <w:r>
              <w:rPr>
                <w:lang w:bidi="yi-Hebr"/>
              </w:rPr>
              <w:t xml:space="preserve"> table should have 15 records and the </w:t>
            </w:r>
            <w:r w:rsidR="006F1238">
              <w:rPr>
                <w:lang w:bidi="yi-Hebr"/>
              </w:rPr>
              <w:t xml:space="preserve">Marketing Analyst </w:t>
            </w:r>
            <w:r>
              <w:rPr>
                <w:lang w:bidi="yi-Hebr"/>
              </w:rPr>
              <w:t xml:space="preserve">table should have </w:t>
            </w:r>
            <w:r w:rsidR="006F1238">
              <w:rPr>
                <w:lang w:bidi="yi-Hebr"/>
              </w:rPr>
              <w:t>4</w:t>
            </w:r>
            <w:r>
              <w:rPr>
                <w:lang w:bidi="yi-Hebr"/>
              </w:rPr>
              <w:t xml:space="preserve"> records.</w:t>
            </w:r>
          </w:p>
        </w:tc>
        <w:tc>
          <w:tcPr>
            <w:tcW w:w="1187" w:type="dxa"/>
          </w:tcPr>
          <w:p w:rsidR="006F3480" w:rsidRPr="004922FF" w:rsidRDefault="006F3480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  <w:r>
              <w:rPr>
                <w:lang w:bidi="yi-Hebr"/>
              </w:rPr>
              <w:t>5</w:t>
            </w:r>
          </w:p>
        </w:tc>
        <w:tc>
          <w:tcPr>
            <w:tcW w:w="897" w:type="dxa"/>
          </w:tcPr>
          <w:p w:rsidR="006F3480" w:rsidRPr="004922FF" w:rsidRDefault="006F3480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  <w:tr w:rsidR="005B749B" w:rsidRPr="004922FF" w:rsidTr="0007678E">
        <w:tc>
          <w:tcPr>
            <w:tcW w:w="3581" w:type="dxa"/>
          </w:tcPr>
          <w:p w:rsidR="005B749B" w:rsidRDefault="005B749B" w:rsidP="005B749B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</w:p>
        </w:tc>
        <w:tc>
          <w:tcPr>
            <w:tcW w:w="3605" w:type="dxa"/>
          </w:tcPr>
          <w:p w:rsidR="005B749B" w:rsidRDefault="005B749B" w:rsidP="006F1238">
            <w:pPr>
              <w:widowControl w:val="0"/>
              <w:autoSpaceDE w:val="0"/>
              <w:autoSpaceDN w:val="0"/>
              <w:adjustRightInd w:val="0"/>
              <w:ind w:left="72"/>
              <w:rPr>
                <w:lang w:bidi="yi-Hebr"/>
              </w:rPr>
            </w:pPr>
            <w:r>
              <w:rPr>
                <w:lang w:bidi="yi-Hebr"/>
              </w:rPr>
              <w:t xml:space="preserve">The sample solution file includes </w:t>
            </w:r>
            <w:r w:rsidR="006F1238">
              <w:rPr>
                <w:lang w:bidi="yi-Hebr"/>
              </w:rPr>
              <w:t>two</w:t>
            </w:r>
            <w:r>
              <w:rPr>
                <w:lang w:bidi="yi-Hebr"/>
              </w:rPr>
              <w:t xml:space="preserve"> quer</w:t>
            </w:r>
            <w:r w:rsidR="006F1238">
              <w:rPr>
                <w:lang w:bidi="yi-Hebr"/>
              </w:rPr>
              <w:t>ies</w:t>
            </w:r>
            <w:r>
              <w:rPr>
                <w:lang w:bidi="yi-Hebr"/>
              </w:rPr>
              <w:t xml:space="preserve">, </w:t>
            </w:r>
            <w:r w:rsidR="006F1238">
              <w:rPr>
                <w:lang w:bidi="yi-Hebr"/>
              </w:rPr>
              <w:t xml:space="preserve">a </w:t>
            </w:r>
            <w:r>
              <w:rPr>
                <w:lang w:bidi="yi-Hebr"/>
              </w:rPr>
              <w:t xml:space="preserve">form, and </w:t>
            </w:r>
            <w:r w:rsidR="006F1238">
              <w:rPr>
                <w:lang w:bidi="yi-Hebr"/>
              </w:rPr>
              <w:t xml:space="preserve">a </w:t>
            </w:r>
            <w:r>
              <w:rPr>
                <w:lang w:bidi="yi-Hebr"/>
              </w:rPr>
              <w:t>report. You could require your students to create these.</w:t>
            </w:r>
          </w:p>
        </w:tc>
        <w:tc>
          <w:tcPr>
            <w:tcW w:w="1187" w:type="dxa"/>
          </w:tcPr>
          <w:p w:rsidR="005B749B" w:rsidRPr="004922FF" w:rsidRDefault="005B749B" w:rsidP="004922FF">
            <w:pPr>
              <w:widowControl w:val="0"/>
              <w:autoSpaceDE w:val="0"/>
              <w:autoSpaceDN w:val="0"/>
              <w:adjustRightInd w:val="0"/>
              <w:ind w:left="67"/>
              <w:jc w:val="center"/>
              <w:rPr>
                <w:lang w:bidi="yi-Hebr"/>
              </w:rPr>
            </w:pPr>
          </w:p>
        </w:tc>
        <w:tc>
          <w:tcPr>
            <w:tcW w:w="897" w:type="dxa"/>
          </w:tcPr>
          <w:p w:rsidR="005B749B" w:rsidRPr="004922FF" w:rsidRDefault="005B749B" w:rsidP="004922FF">
            <w:pPr>
              <w:widowControl w:val="0"/>
              <w:autoSpaceDE w:val="0"/>
              <w:autoSpaceDN w:val="0"/>
              <w:adjustRightInd w:val="0"/>
              <w:ind w:left="67"/>
              <w:rPr>
                <w:lang w:bidi="yi-Hebr"/>
              </w:rPr>
            </w:pPr>
          </w:p>
        </w:tc>
      </w:tr>
    </w:tbl>
    <w:p w:rsidR="00FE78C8" w:rsidRDefault="00FE78C8"/>
    <w:p w:rsidR="00422D0E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Part 2: Critical Thinking Decisions</w:t>
      </w:r>
    </w:p>
    <w:p w:rsidR="0079529A" w:rsidRDefault="00422D0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This assignment requires students to explain why they made these decisions in creating </w:t>
      </w:r>
      <w:r w:rsidR="009D036E">
        <w:rPr>
          <w:rFonts w:ascii="Times New Roman" w:hAnsi="Times New Roman"/>
        </w:rPr>
        <w:t xml:space="preserve">the databases. </w:t>
      </w:r>
    </w:p>
    <w:p w:rsidR="0079529A" w:rsidRPr="00F53D1D" w:rsidRDefault="0079529A" w:rsidP="0079529A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F53D1D">
        <w:rPr>
          <w:rFonts w:ascii="Times New Roman" w:hAnsi="Times New Roman"/>
        </w:rPr>
        <w:t>Identify tables in the database</w:t>
      </w:r>
    </w:p>
    <w:p w:rsidR="0079529A" w:rsidRPr="00F53D1D" w:rsidRDefault="0079529A" w:rsidP="0079529A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F53D1D">
        <w:rPr>
          <w:rFonts w:ascii="Times New Roman" w:hAnsi="Times New Roman"/>
        </w:rPr>
        <w:t>Determine primary keys</w:t>
      </w:r>
    </w:p>
    <w:p w:rsidR="0079529A" w:rsidRPr="00F53D1D" w:rsidRDefault="0079529A" w:rsidP="0079529A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F53D1D">
        <w:rPr>
          <w:rFonts w:ascii="Times New Roman" w:hAnsi="Times New Roman"/>
        </w:rPr>
        <w:t>Determine additional fields</w:t>
      </w:r>
    </w:p>
    <w:p w:rsidR="0079529A" w:rsidRPr="00F53D1D" w:rsidRDefault="0079529A" w:rsidP="0079529A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F53D1D">
        <w:rPr>
          <w:rFonts w:ascii="Times New Roman" w:hAnsi="Times New Roman"/>
        </w:rPr>
        <w:t>Determine data types</w:t>
      </w:r>
    </w:p>
    <w:p w:rsidR="0079529A" w:rsidRPr="00F53D1D" w:rsidRDefault="0079529A" w:rsidP="0079529A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F53D1D">
        <w:rPr>
          <w:rFonts w:ascii="Times New Roman" w:hAnsi="Times New Roman"/>
        </w:rPr>
        <w:t>Determine field sizes</w:t>
      </w:r>
    </w:p>
    <w:p w:rsidR="0079529A" w:rsidRPr="00F53D1D" w:rsidRDefault="0079529A" w:rsidP="0079529A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F53D1D">
        <w:rPr>
          <w:rFonts w:ascii="Times New Roman" w:hAnsi="Times New Roman"/>
        </w:rPr>
        <w:t>Determine captions</w:t>
      </w:r>
    </w:p>
    <w:p w:rsidR="0079529A" w:rsidRPr="00F53D1D" w:rsidRDefault="0079529A" w:rsidP="0079529A">
      <w:pPr>
        <w:pStyle w:val="ListParagraph"/>
        <w:numPr>
          <w:ilvl w:val="0"/>
          <w:numId w:val="6"/>
        </w:numPr>
        <w:tabs>
          <w:tab w:val="left" w:pos="0"/>
        </w:tabs>
        <w:rPr>
          <w:rFonts w:ascii="Times New Roman" w:hAnsi="Times New Roman"/>
        </w:rPr>
      </w:pPr>
      <w:r w:rsidRPr="00F53D1D">
        <w:rPr>
          <w:rFonts w:ascii="Times New Roman" w:hAnsi="Times New Roman"/>
        </w:rPr>
        <w:t>Determine how to add recor</w:t>
      </w:r>
      <w:r>
        <w:rPr>
          <w:rFonts w:ascii="Times New Roman" w:hAnsi="Times New Roman"/>
        </w:rPr>
        <w:t>d</w:t>
      </w:r>
      <w:r w:rsidRPr="00F53D1D">
        <w:rPr>
          <w:rFonts w:ascii="Times New Roman" w:hAnsi="Times New Roman"/>
        </w:rPr>
        <w:t>s</w:t>
      </w:r>
    </w:p>
    <w:p w:rsidR="00422D0E" w:rsidRDefault="009D036E" w:rsidP="00422D0E">
      <w:p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Students </w:t>
      </w:r>
      <w:r w:rsidR="0079529A">
        <w:rPr>
          <w:rFonts w:ascii="Times New Roman" w:hAnsi="Times New Roman"/>
        </w:rPr>
        <w:t xml:space="preserve">also </w:t>
      </w:r>
      <w:r>
        <w:rPr>
          <w:rFonts w:ascii="Times New Roman" w:hAnsi="Times New Roman"/>
        </w:rPr>
        <w:t>should explain</w:t>
      </w:r>
      <w:r w:rsidR="009038BD">
        <w:rPr>
          <w:rFonts w:ascii="Times New Roman" w:hAnsi="Times New Roman"/>
        </w:rPr>
        <w:t xml:space="preserve"> what field they decided to use for the primary key and why.</w:t>
      </w:r>
    </w:p>
    <w:p w:rsidR="009038BD" w:rsidRPr="009038BD" w:rsidRDefault="006F1238" w:rsidP="009038BD">
      <w:pPr>
        <w:pStyle w:val="ListParagraph"/>
        <w:numPr>
          <w:ilvl w:val="0"/>
          <w:numId w:val="5"/>
        </w:num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Client</w:t>
      </w:r>
      <w:r w:rsidR="009038BD" w:rsidRPr="009038BD">
        <w:rPr>
          <w:rFonts w:ascii="Times New Roman" w:hAnsi="Times New Roman"/>
        </w:rPr>
        <w:t xml:space="preserve"> Number is the primary key for the </w:t>
      </w:r>
      <w:r>
        <w:rPr>
          <w:rFonts w:ascii="Times New Roman" w:hAnsi="Times New Roman"/>
        </w:rPr>
        <w:t>Client</w:t>
      </w:r>
      <w:r w:rsidR="009038BD" w:rsidRPr="009038BD">
        <w:rPr>
          <w:rFonts w:ascii="Times New Roman" w:hAnsi="Times New Roman"/>
        </w:rPr>
        <w:t xml:space="preserve"> table because it uniquely identifies each </w:t>
      </w:r>
      <w:r>
        <w:rPr>
          <w:rFonts w:ascii="Times New Roman" w:hAnsi="Times New Roman"/>
        </w:rPr>
        <w:t>client</w:t>
      </w:r>
      <w:r w:rsidR="009038BD" w:rsidRPr="009038BD">
        <w:rPr>
          <w:rFonts w:ascii="Times New Roman" w:hAnsi="Times New Roman"/>
        </w:rPr>
        <w:t>.</w:t>
      </w:r>
    </w:p>
    <w:p w:rsidR="009038BD" w:rsidRPr="009038BD" w:rsidRDefault="006F1238" w:rsidP="009038BD">
      <w:pPr>
        <w:pStyle w:val="ListParagraph"/>
        <w:numPr>
          <w:ilvl w:val="0"/>
          <w:numId w:val="5"/>
        </w:numPr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Marketing Analyst</w:t>
      </w:r>
      <w:r w:rsidR="009038BD" w:rsidRPr="009038BD">
        <w:rPr>
          <w:rFonts w:ascii="Times New Roman" w:hAnsi="Times New Roman"/>
        </w:rPr>
        <w:t xml:space="preserve"> Number is the primary key for the </w:t>
      </w:r>
      <w:r>
        <w:rPr>
          <w:rFonts w:ascii="Times New Roman" w:hAnsi="Times New Roman"/>
        </w:rPr>
        <w:t>Marketing Analyst</w:t>
      </w:r>
      <w:r w:rsidR="009038BD" w:rsidRPr="009038BD">
        <w:rPr>
          <w:rFonts w:ascii="Times New Roman" w:hAnsi="Times New Roman"/>
        </w:rPr>
        <w:t xml:space="preserve"> table because it uniquely identifies each </w:t>
      </w:r>
      <w:r>
        <w:rPr>
          <w:rFonts w:ascii="Times New Roman" w:hAnsi="Times New Roman"/>
        </w:rPr>
        <w:t>marketing analyst</w:t>
      </w:r>
      <w:r w:rsidR="009038BD" w:rsidRPr="009038BD">
        <w:rPr>
          <w:rFonts w:ascii="Times New Roman" w:hAnsi="Times New Roman"/>
        </w:rPr>
        <w:t>.</w:t>
      </w:r>
    </w:p>
    <w:p w:rsidR="00422D0E" w:rsidRDefault="00422D0E"/>
    <w:sectPr w:rsidR="00422D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5A9" w:rsidRDefault="00FF05A9" w:rsidP="004922FF">
      <w:pPr>
        <w:spacing w:after="0" w:line="240" w:lineRule="auto"/>
      </w:pPr>
      <w:r>
        <w:separator/>
      </w:r>
    </w:p>
  </w:endnote>
  <w:endnote w:type="continuationSeparator" w:id="0">
    <w:p w:rsidR="00FF05A9" w:rsidRDefault="00FF05A9" w:rsidP="00492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5A9" w:rsidRDefault="00FF05A9" w:rsidP="004922FF">
      <w:pPr>
        <w:spacing w:after="0" w:line="240" w:lineRule="auto"/>
      </w:pPr>
      <w:r>
        <w:separator/>
      </w:r>
    </w:p>
  </w:footnote>
  <w:footnote w:type="continuationSeparator" w:id="0">
    <w:p w:rsidR="00FF05A9" w:rsidRDefault="00FF05A9" w:rsidP="004922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3170A"/>
    <w:multiLevelType w:val="hybridMultilevel"/>
    <w:tmpl w:val="F9FCC6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45022"/>
    <w:multiLevelType w:val="hybridMultilevel"/>
    <w:tmpl w:val="CFC44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C141B"/>
    <w:multiLevelType w:val="hybridMultilevel"/>
    <w:tmpl w:val="E584A2AE"/>
    <w:lvl w:ilvl="0" w:tplc="C1DED69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610B328A"/>
    <w:multiLevelType w:val="hybridMultilevel"/>
    <w:tmpl w:val="A16069B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" w15:restartNumberingAfterBreak="0">
    <w:nsid w:val="6E1F78CD"/>
    <w:multiLevelType w:val="hybridMultilevel"/>
    <w:tmpl w:val="492C8360"/>
    <w:lvl w:ilvl="0" w:tplc="4D88D5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C7AAA"/>
    <w:multiLevelType w:val="hybridMultilevel"/>
    <w:tmpl w:val="50DC9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FF"/>
    <w:rsid w:val="000275A3"/>
    <w:rsid w:val="0006463D"/>
    <w:rsid w:val="0007678E"/>
    <w:rsid w:val="000B053E"/>
    <w:rsid w:val="001E7FFD"/>
    <w:rsid w:val="001F7108"/>
    <w:rsid w:val="00211348"/>
    <w:rsid w:val="002B19AE"/>
    <w:rsid w:val="0034261A"/>
    <w:rsid w:val="00422D0E"/>
    <w:rsid w:val="004753D3"/>
    <w:rsid w:val="004922FF"/>
    <w:rsid w:val="00531471"/>
    <w:rsid w:val="00576B48"/>
    <w:rsid w:val="005B749B"/>
    <w:rsid w:val="006719F1"/>
    <w:rsid w:val="00684919"/>
    <w:rsid w:val="006B667F"/>
    <w:rsid w:val="006F1238"/>
    <w:rsid w:val="006F3480"/>
    <w:rsid w:val="00722547"/>
    <w:rsid w:val="0079529A"/>
    <w:rsid w:val="008763D4"/>
    <w:rsid w:val="008E1DA1"/>
    <w:rsid w:val="008E7F2F"/>
    <w:rsid w:val="009038BD"/>
    <w:rsid w:val="009D036E"/>
    <w:rsid w:val="00A552A9"/>
    <w:rsid w:val="00AA3735"/>
    <w:rsid w:val="00B312F7"/>
    <w:rsid w:val="00B446D5"/>
    <w:rsid w:val="00BC518E"/>
    <w:rsid w:val="00CF328A"/>
    <w:rsid w:val="00D26DCE"/>
    <w:rsid w:val="00DF55DD"/>
    <w:rsid w:val="00EF1624"/>
    <w:rsid w:val="00F40B5F"/>
    <w:rsid w:val="00F53343"/>
    <w:rsid w:val="00FB14EE"/>
    <w:rsid w:val="00FE3D0E"/>
    <w:rsid w:val="00FE78C8"/>
    <w:rsid w:val="00FF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0964E5"/>
  <w15:docId w15:val="{D2962AC6-1821-4637-8D6D-2535644F5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2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2FF"/>
  </w:style>
  <w:style w:type="paragraph" w:styleId="Footer">
    <w:name w:val="footer"/>
    <w:basedOn w:val="Normal"/>
    <w:link w:val="FooterChar"/>
    <w:uiPriority w:val="99"/>
    <w:unhideWhenUsed/>
    <w:rsid w:val="004922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2FF"/>
  </w:style>
  <w:style w:type="paragraph" w:styleId="ListParagraph">
    <w:name w:val="List Paragraph"/>
    <w:basedOn w:val="Normal"/>
    <w:link w:val="ListParagraphChar"/>
    <w:uiPriority w:val="34"/>
    <w:qFormat/>
    <w:rsid w:val="006719F1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22D0E"/>
  </w:style>
  <w:style w:type="paragraph" w:styleId="BalloonText">
    <w:name w:val="Balloon Text"/>
    <w:basedOn w:val="Normal"/>
    <w:link w:val="BalloonTextChar"/>
    <w:uiPriority w:val="99"/>
    <w:semiHidden/>
    <w:unhideWhenUsed/>
    <w:rsid w:val="00EF1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62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F16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6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6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6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6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Misty Vermaat</dc:creator>
  <cp:lastModifiedBy>Mary</cp:lastModifiedBy>
  <cp:revision>4</cp:revision>
  <cp:lastPrinted>2013-01-14T22:56:00Z</cp:lastPrinted>
  <dcterms:created xsi:type="dcterms:W3CDTF">2016-01-31T20:14:00Z</dcterms:created>
  <dcterms:modified xsi:type="dcterms:W3CDTF">2016-01-31T20:34:00Z</dcterms:modified>
</cp:coreProperties>
</file>